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962686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394" cy="6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Liberation Sans" w:hAnsi="Liberation Sans" w:cs="Liberation Sans"/>
          <w:spacing w:val="-20"/>
          <w:sz w:val="32"/>
          <w:szCs w:val="32"/>
        </w:rPr>
      </w:r>
      <w:r/>
    </w:p>
    <w:p>
      <w:pPr>
        <w:pStyle w:val="871"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r>
      <w:r/>
    </w:p>
    <w:p>
      <w:pPr>
        <w:pStyle w:val="871"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r>
      <w:r/>
    </w:p>
    <w:p>
      <w:pPr>
        <w:pStyle w:val="871"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  <w:b/>
          <w:color w:val="0000ff"/>
          <w:sz w:val="36"/>
          <w:szCs w:val="36"/>
        </w:rPr>
      </w:r>
      <w:r/>
    </w:p>
    <w:p>
      <w:pPr>
        <w:pStyle w:val="871"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  <w:color w:val="0000ff"/>
          <w:sz w:val="16"/>
          <w:szCs w:val="16"/>
        </w:rPr>
      </w:r>
      <w:r/>
    </w:p>
    <w:p>
      <w:pPr>
        <w:pStyle w:val="871"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  <w:b/>
          <w:color w:val="0000ff"/>
          <w:sz w:val="40"/>
          <w:szCs w:val="40"/>
          <w:highlight w:val="none"/>
        </w:rPr>
      </w:r>
      <w:r/>
    </w:p>
    <w:p>
      <w:pPr>
        <w:pStyle w:val="871"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  <w:b/>
          <w:color w:val="0000ff"/>
          <w:sz w:val="36"/>
          <w:szCs w:val="36"/>
        </w:rPr>
      </w:r>
      <w:r/>
    </w:p>
    <w:p>
      <w:pPr>
        <w:pStyle w:val="871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28 февраля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2025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г.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№ 15-т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contextualSpacing/>
        <w:ind w:right="21"/>
        <w:jc w:val="center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г. Салехард</w:t>
      </w:r>
      <w:r>
        <w:rPr>
          <w:sz w:val="28"/>
          <w:szCs w:val="28"/>
        </w:rPr>
      </w:r>
      <w:r/>
    </w:p>
    <w:p>
      <w:pPr>
        <w:pStyle w:val="871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71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2025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ind w:left="0" w:right="0" w:firstLine="0"/>
        <w:jc w:val="center"/>
        <w:spacing w:before="0" w:after="0" w:line="288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 внесении изме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нений в таблицу 1 приложения к приказу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департамента тарифной политики, энергетики и</w:t>
      </w: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 w:line="288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от 30 ноября 2024 года № 438-т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b/>
          <w:bCs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от 20 февраля 2025 года № 183 «О внесении изменений </w:t>
        <w:br/>
        <w:t xml:space="preserve">в 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 Правительства Российской Федерации от 29 декабря 2011 г. № 1178»,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none"/>
        </w:rPr>
        <w:t xml:space="preserve">Утвердить прилагаемые изменения, которые вносятся </w:t>
        <w:br/>
        <w:t xml:space="preserve">в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таблицу 1 приложения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тарифной политики, энергетики 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от 30 ноября 2024 года № 438-т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«Об установлении цен (тарифов) на электрическую энергию для населения и приравненных к нему категорий потребителей по Ямало-Ненецкому автономному округу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на 2025 год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6378"/>
        <w:spacing w:line="240" w:lineRule="auto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 w:val="0"/>
        <w:ind w:left="15591"/>
        <w:spacing w:line="240" w:lineRule="auto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 w:val="0"/>
        <w:ind w:left="6378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 w:val="0"/>
        <w:ind w:left="6378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 w:val="0"/>
        <w:ind w:left="6378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28 февраля 2025 года № 15-т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 w:val="0"/>
        <w:ind w:left="0" w:right="0" w:firstLine="540"/>
        <w:jc w:val="center"/>
        <w:spacing w:before="0" w:after="0" w:line="240" w:lineRule="auto"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contextualSpacing w:val="0"/>
        <w:ind w:left="0" w:right="0" w:firstLine="540"/>
        <w:jc w:val="center"/>
        <w:spacing w:before="0" w:after="0" w:line="240" w:lineRule="auto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t xml:space="preserve">ИЗМЕНЕНИЯ,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 w:val="0"/>
        <w:ind w:left="0" w:right="0" w:firstLine="540"/>
        <w:jc w:val="center"/>
        <w:spacing w:before="0" w:after="0" w:line="240" w:lineRule="auto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t xml:space="preserve">которые вносятся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t xml:space="preserve">в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таблицу 1 приложения к приказу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 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департамента тарифной политики, энергетики 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white"/>
        </w:rPr>
        <w:t xml:space="preserve">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540"/>
        <w:jc w:val="center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от 30 ноября 2024 года № 438-т</w:t>
      </w:r>
      <w:r/>
    </w:p>
    <w:p>
      <w:pPr>
        <w:contextualSpacing w:val="0"/>
        <w:ind w:left="0" w:right="0" w:firstLine="540"/>
        <w:jc w:val="center"/>
        <w:spacing w:before="0" w:after="0" w:line="240" w:lineRule="auto"/>
        <w:rPr>
          <w:rFonts w:ascii="Liberation Sans" w:hAnsi="Liberation Sans" w:cs="Liberation Sans"/>
          <w:b w:val="0"/>
          <w:bCs w:val="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whit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whit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ab/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В графе 6:</w:t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1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. 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подпункте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1.2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пункта 1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«3,82» заменить 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«3,85»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. в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подпункте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2.2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пункта 2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«2,67»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«2,69»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3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подпункте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3.2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пункта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3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«2,67» заменить 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«2,69»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4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подпункте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4.2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пункта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4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«2,67» заменить 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«2,69»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5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подпункте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5.2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пункта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5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«2,67»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«2,69»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подпункте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6.2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пункта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6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«2,67»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«2,69»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7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подпункте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7.2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пункта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7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«2,67»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«2,69»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8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подпункте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8.2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пункта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8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«2,67»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«2,69»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 пункте 9: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9.1. 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позиции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9.1.2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подпункта 9.1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«3,82»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«3,85»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9.2.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позиции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9.2.2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подпункта 9.2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«3,82»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«3,85»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9.3.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позиции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9.3.2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подпункта 9.3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«3,82»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«3,85»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9.4. 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позиции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9.4.2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подпункта 9.4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«3,82»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«3,85»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9.5.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позиции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9.5.2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подпункта 9.5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«3,82»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«3,85»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9.6.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позиции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9.6.2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подпункта 9.6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«3,82» заменить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цифр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ами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«3,85»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.</w:t>
      </w:r>
      <w:r>
        <w:rPr>
          <w:color w:val="000000" w:themeColor="text1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 w:val="0"/>
        <w:ind w:left="707" w:right="0" w:firstLine="709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ab/>
        <w:t xml:space="preserve"> 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709"/>
        <w:jc w:val="left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0" w:right="0" w:firstLine="709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3452" w:right="-170"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ffffff" w:themeColor="background1"/>
          <w:sz w:val="24"/>
          <w:szCs w:val="24"/>
        </w:rPr>
        <w:t xml:space="preserve">          </w:t>
      </w:r>
      <w:r/>
    </w:p>
    <w:sectPr>
      <w:footnotePr/>
      <w:endnotePr/>
      <w:type w:val="nextPage"/>
      <w:pgSz w:w="11906" w:h="16838" w:orient="portrait"/>
      <w:pgMar w:top="1134" w:right="567" w:bottom="567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rPr>
      <w:lang w:eastAsia="zh-CN"/>
    </w:rPr>
  </w:style>
  <w:style w:type="paragraph" w:styleId="665">
    <w:name w:val="Heading 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6">
    <w:name w:val="Heading 2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7">
    <w:name w:val="Heading 3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8">
    <w:name w:val="Heading 4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9">
    <w:name w:val="Heading 5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70">
    <w:name w:val="Heading 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71">
    <w:name w:val="Heading 7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72">
    <w:name w:val="Heading 8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73">
    <w:name w:val="Heading 9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basedOn w:val="674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Heading 2 Char"/>
    <w:basedOn w:val="674"/>
    <w:uiPriority w:val="9"/>
    <w:rPr>
      <w:rFonts w:ascii="Arial" w:hAnsi="Arial" w:eastAsia="Arial" w:cs="Arial"/>
      <w:sz w:val="34"/>
    </w:rPr>
  </w:style>
  <w:style w:type="character" w:styleId="679" w:customStyle="1">
    <w:name w:val="Heading 3 Char"/>
    <w:basedOn w:val="674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Heading 4 Char"/>
    <w:basedOn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5 Char"/>
    <w:basedOn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Heading 6 Char"/>
    <w:basedOn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Heading 7 Char"/>
    <w:basedOn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Heading 8 Char"/>
    <w:basedOn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Heading 9 Char"/>
    <w:basedOn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86" w:customStyle="1">
    <w:name w:val="Title Char"/>
    <w:basedOn w:val="674"/>
    <w:uiPriority w:val="10"/>
    <w:rPr>
      <w:sz w:val="48"/>
      <w:szCs w:val="48"/>
    </w:rPr>
  </w:style>
  <w:style w:type="character" w:styleId="687" w:customStyle="1">
    <w:name w:val="Subtitle Char"/>
    <w:basedOn w:val="674"/>
    <w:uiPriority w:val="11"/>
    <w:rPr>
      <w:sz w:val="24"/>
      <w:szCs w:val="24"/>
    </w:rPr>
  </w:style>
  <w:style w:type="character" w:styleId="688" w:customStyle="1">
    <w:name w:val="Quote Char"/>
    <w:uiPriority w:val="29"/>
    <w:rPr>
      <w:i/>
    </w:rPr>
  </w:style>
  <w:style w:type="character" w:styleId="689" w:customStyle="1">
    <w:name w:val="Intense Quote Char"/>
    <w:uiPriority w:val="30"/>
    <w:rPr>
      <w:i/>
    </w:rPr>
  </w:style>
  <w:style w:type="character" w:styleId="690" w:customStyle="1">
    <w:name w:val="Header Char"/>
    <w:basedOn w:val="674"/>
    <w:uiPriority w:val="99"/>
  </w:style>
  <w:style w:type="character" w:styleId="691" w:customStyle="1">
    <w:name w:val="Caption Char"/>
    <w:uiPriority w:val="99"/>
  </w:style>
  <w:style w:type="character" w:styleId="692" w:customStyle="1">
    <w:name w:val="Footnote Text Char"/>
    <w:uiPriority w:val="99"/>
    <w:rPr>
      <w:sz w:val="18"/>
    </w:rPr>
  </w:style>
  <w:style w:type="character" w:styleId="693" w:customStyle="1">
    <w:name w:val="Endnote Text Char"/>
    <w:uiPriority w:val="99"/>
    <w:rPr>
      <w:sz w:val="20"/>
    </w:rPr>
  </w:style>
  <w:style w:type="character" w:styleId="694" w:customStyle="1">
    <w:name w:val="Заголовок 1 Знак"/>
    <w:link w:val="665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link w:val="666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link w:val="667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4">
    <w:name w:val="No Spacing"/>
    <w:uiPriority w:val="1"/>
    <w:qFormat/>
    <w:rPr>
      <w:lang w:eastAsia="zh-CN"/>
    </w:rPr>
  </w:style>
  <w:style w:type="paragraph" w:styleId="705">
    <w:name w:val="Title"/>
    <w:link w:val="706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06" w:customStyle="1">
    <w:name w:val="Заголовок Знак"/>
    <w:link w:val="705"/>
    <w:uiPriority w:val="10"/>
    <w:rPr>
      <w:sz w:val="48"/>
      <w:szCs w:val="48"/>
    </w:rPr>
  </w:style>
  <w:style w:type="paragraph" w:styleId="707">
    <w:name w:val="Subtitle"/>
    <w:link w:val="70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08" w:customStyle="1">
    <w:name w:val="Подзаголовок Знак"/>
    <w:link w:val="707"/>
    <w:uiPriority w:val="11"/>
    <w:rPr>
      <w:sz w:val="24"/>
      <w:szCs w:val="24"/>
    </w:rPr>
  </w:style>
  <w:style w:type="paragraph" w:styleId="709">
    <w:name w:val="Quote"/>
    <w:link w:val="710"/>
    <w:uiPriority w:val="29"/>
    <w:qFormat/>
    <w:pPr>
      <w:ind w:left="720" w:right="720"/>
    </w:pPr>
    <w:rPr>
      <w:i/>
      <w:lang w:eastAsia="zh-CN"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link w:val="71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4" w:customStyle="1">
    <w:name w:val="Верхний колонтитул Знак"/>
    <w:link w:val="713"/>
    <w:uiPriority w:val="99"/>
  </w:style>
  <w:style w:type="paragraph" w:styleId="715">
    <w:name w:val="Footer"/>
    <w:link w:val="718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6" w:customStyle="1">
    <w:name w:val="Footer Char"/>
    <w:uiPriority w:val="99"/>
  </w:style>
  <w:style w:type="paragraph" w:styleId="717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8" w:customStyle="1">
    <w:name w:val="Нижний колонтитул Знак"/>
    <w:link w:val="715"/>
    <w:uiPriority w:val="99"/>
  </w:style>
  <w:style w:type="table" w:styleId="719">
    <w:name w:val="Table Grid"/>
    <w:basedOn w:val="675"/>
    <w:tblPr/>
  </w:style>
  <w:style w:type="table" w:styleId="72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5">
    <w:name w:val="Hyperlink"/>
    <w:uiPriority w:val="99"/>
    <w:unhideWhenUsed/>
    <w:rPr>
      <w:color w:val="0000ff"/>
      <w:u w:val="single"/>
    </w:rPr>
  </w:style>
  <w:style w:type="paragraph" w:styleId="846">
    <w:name w:val="footnote text"/>
    <w:link w:val="847"/>
    <w:uiPriority w:val="99"/>
    <w:semiHidden/>
    <w:unhideWhenUsed/>
    <w:pPr>
      <w:spacing w:after="40"/>
    </w:pPr>
    <w:rPr>
      <w:sz w:val="18"/>
      <w:lang w:eastAsia="zh-CN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link w:val="850"/>
    <w:uiPriority w:val="99"/>
    <w:semiHidden/>
    <w:unhideWhenUsed/>
    <w:rPr>
      <w:lang w:eastAsia="zh-CN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uiPriority w:val="39"/>
    <w:unhideWhenUsed/>
    <w:pPr>
      <w:spacing w:after="57"/>
    </w:pPr>
    <w:rPr>
      <w:lang w:eastAsia="zh-CN"/>
    </w:rPr>
  </w:style>
  <w:style w:type="paragraph" w:styleId="85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6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61">
    <w:name w:val="TOC Heading"/>
    <w:uiPriority w:val="39"/>
    <w:unhideWhenUsed/>
    <w:rPr>
      <w:lang w:eastAsia="zh-CN"/>
    </w:rPr>
  </w:style>
  <w:style w:type="paragraph" w:styleId="862">
    <w:name w:val="table of figures"/>
    <w:uiPriority w:val="99"/>
    <w:unhideWhenUsed/>
    <w:rPr>
      <w:lang w:eastAsia="zh-CN"/>
    </w:rPr>
  </w:style>
  <w:style w:type="paragraph" w:styleId="863" w:customStyle="1">
    <w:name w:val="Знак Знак Знак Знак"/>
    <w:basedOn w:val="66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64" w:customStyle="1">
    <w:name w:val="ConsPlusNormal"/>
    <w:pPr>
      <w:ind w:firstLine="720"/>
    </w:pPr>
    <w:rPr>
      <w:rFonts w:ascii="Arial" w:hAnsi="Arial"/>
    </w:rPr>
  </w:style>
  <w:style w:type="paragraph" w:styleId="865" w:customStyle="1">
    <w:name w:val="ConsPlusCell"/>
    <w:pPr>
      <w:widowControl w:val="off"/>
    </w:pPr>
    <w:rPr>
      <w:rFonts w:ascii="Arial" w:hAnsi="Arial"/>
    </w:rPr>
  </w:style>
  <w:style w:type="paragraph" w:styleId="866">
    <w:name w:val="Body Text Indent 2"/>
    <w:basedOn w:val="664"/>
    <w:link w:val="868"/>
    <w:pPr>
      <w:ind w:firstLine="720"/>
      <w:jc w:val="both"/>
    </w:pPr>
    <w:rPr>
      <w:sz w:val="28"/>
      <w:lang w:val="en-US" w:eastAsia="en-US"/>
    </w:rPr>
  </w:style>
  <w:style w:type="paragraph" w:styleId="867" w:customStyle="1">
    <w:name w:val="ConsPlusNonformat"/>
    <w:rPr>
      <w:rFonts w:ascii="Courier New" w:hAnsi="Courier New"/>
    </w:rPr>
  </w:style>
  <w:style w:type="character" w:styleId="868" w:customStyle="1">
    <w:name w:val="Основной текст с отступом 2 Знак"/>
    <w:link w:val="866"/>
    <w:rPr>
      <w:sz w:val="28"/>
      <w:szCs w:val="24"/>
    </w:rPr>
  </w:style>
  <w:style w:type="paragraph" w:styleId="869">
    <w:name w:val="Balloon Text"/>
    <w:basedOn w:val="664"/>
    <w:link w:val="870"/>
    <w:rPr>
      <w:rFonts w:ascii="Tahoma" w:hAnsi="Tahoma"/>
      <w:sz w:val="16"/>
      <w:szCs w:val="16"/>
      <w:lang w:val="en-US" w:eastAsia="en-US"/>
    </w:rPr>
  </w:style>
  <w:style w:type="character" w:styleId="870" w:customStyle="1">
    <w:name w:val="Текст выноски Знак"/>
    <w:link w:val="869"/>
    <w:rPr>
      <w:rFonts w:ascii="Tahoma" w:hAnsi="Tahoma"/>
      <w:sz w:val="16"/>
      <w:szCs w:val="16"/>
    </w:rPr>
  </w:style>
  <w:style w:type="paragraph" w:styleId="871" w:customStyle="1">
    <w:name w:val="Обычный"/>
    <w:next w:val="854"/>
    <w:link w:val="85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2" w:customStyle="1">
    <w:name w:val="Основной текст с отступом 2"/>
    <w:basedOn w:val="871"/>
    <w:next w:val="862"/>
    <w:link w:val="864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7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60</cp:revision>
  <dcterms:created xsi:type="dcterms:W3CDTF">2022-11-16T10:09:00Z</dcterms:created>
  <dcterms:modified xsi:type="dcterms:W3CDTF">2025-02-28T11:55:37Z</dcterms:modified>
</cp:coreProperties>
</file>